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佛山高新区瞪羚企业认定及扶持办法</w:t>
      </w:r>
    </w:p>
    <w:p>
      <w:pPr>
        <w:adjustRightInd w:val="0"/>
        <w:snapToGrid w:val="0"/>
        <w:spacing w:line="560" w:lineRule="exact"/>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（征求意见稿，201807</w:t>
      </w:r>
      <w:r>
        <w:rPr>
          <w:rFonts w:ascii="仿宋" w:hAnsi="仿宋" w:eastAsia="仿宋" w:cs="仿宋"/>
          <w:b/>
          <w:color w:val="000000" w:themeColor="text1"/>
          <w:sz w:val="32"/>
          <w:szCs w:val="32"/>
          <w14:textFill>
            <w14:solidFill>
              <w14:schemeClr w14:val="tx1"/>
            </w14:solidFill>
          </w14:textFill>
        </w:rPr>
        <w:t>24</w:t>
      </w:r>
      <w:r>
        <w:rPr>
          <w:rFonts w:hint="eastAsia" w:ascii="仿宋" w:hAnsi="仿宋" w:eastAsia="仿宋" w:cs="仿宋"/>
          <w:b/>
          <w:color w:val="000000" w:themeColor="text1"/>
          <w:sz w:val="32"/>
          <w:szCs w:val="32"/>
          <w14:textFill>
            <w14:solidFill>
              <w14:schemeClr w14:val="tx1"/>
            </w14:solidFill>
          </w14:textFill>
        </w:rPr>
        <w:t>）</w:t>
      </w:r>
    </w:p>
    <w:p>
      <w:pPr>
        <w:adjustRightInd w:val="0"/>
        <w:snapToGrid w:val="0"/>
        <w:spacing w:line="560" w:lineRule="exact"/>
        <w:jc w:val="center"/>
        <w:rPr>
          <w:rFonts w:ascii="仿宋" w:hAnsi="仿宋" w:eastAsia="仿宋" w:cs="仿宋"/>
          <w:b/>
          <w:color w:val="000000" w:themeColor="text1"/>
          <w:sz w:val="32"/>
          <w:szCs w:val="32"/>
          <w14:textFill>
            <w14:solidFill>
              <w14:schemeClr w14:val="tx1"/>
            </w14:solidFill>
          </w14:textFill>
        </w:rPr>
      </w:pPr>
    </w:p>
    <w:p>
      <w:pPr>
        <w:numPr>
          <w:ilvl w:val="255"/>
          <w:numId w:val="0"/>
        </w:numPr>
        <w:adjustRightInd w:val="0"/>
        <w:snapToGrid w:val="0"/>
        <w:spacing w:line="560" w:lineRule="exact"/>
        <w:jc w:val="center"/>
        <w:rPr>
          <w:rStyle w:val="10"/>
          <w:rFonts w:ascii="黑体" w:hAnsi="黑体" w:eastAsia="黑体" w:cs="黑体"/>
          <w:b w:val="0"/>
          <w:bCs/>
          <w:color w:val="000000" w:themeColor="text1"/>
          <w:sz w:val="32"/>
          <w:szCs w:val="32"/>
          <w:shd w:val="clear" w:color="auto" w:fill="FFFFFF"/>
          <w14:textFill>
            <w14:solidFill>
              <w14:schemeClr w14:val="tx1"/>
            </w14:solidFill>
          </w14:textFill>
        </w:rPr>
      </w:pPr>
      <w:r>
        <w:rPr>
          <w:rStyle w:val="10"/>
          <w:rFonts w:hint="eastAsia" w:ascii="黑体" w:hAnsi="黑体" w:eastAsia="黑体" w:cs="黑体"/>
          <w:b w:val="0"/>
          <w:bCs/>
          <w:color w:val="000000" w:themeColor="text1"/>
          <w:sz w:val="32"/>
          <w:szCs w:val="32"/>
          <w:shd w:val="clear" w:color="auto" w:fill="FFFFFF"/>
          <w14:textFill>
            <w14:solidFill>
              <w14:schemeClr w14:val="tx1"/>
            </w14:solidFill>
          </w14:textFill>
        </w:rPr>
        <w:t xml:space="preserve">第一章 </w:t>
      </w:r>
      <w:r>
        <w:rPr>
          <w:rStyle w:val="10"/>
          <w:rFonts w:ascii="黑体" w:hAnsi="黑体" w:eastAsia="黑体" w:cs="黑体"/>
          <w:b w:val="0"/>
          <w:bCs/>
          <w:color w:val="000000" w:themeColor="text1"/>
          <w:sz w:val="32"/>
          <w:szCs w:val="32"/>
          <w:shd w:val="clear" w:color="auto" w:fill="FFFFFF"/>
          <w14:textFill>
            <w14:solidFill>
              <w14:schemeClr w14:val="tx1"/>
            </w14:solidFill>
          </w14:textFill>
        </w:rPr>
        <w:t xml:space="preserve"> </w:t>
      </w:r>
      <w:r>
        <w:rPr>
          <w:rStyle w:val="10"/>
          <w:rFonts w:hint="eastAsia" w:ascii="黑体" w:hAnsi="黑体" w:eastAsia="黑体" w:cs="黑体"/>
          <w:b w:val="0"/>
          <w:bCs/>
          <w:color w:val="000000" w:themeColor="text1"/>
          <w:sz w:val="32"/>
          <w:szCs w:val="32"/>
          <w:shd w:val="clear" w:color="auto" w:fill="FFFFFF"/>
          <w14:textFill>
            <w14:solidFill>
              <w14:schemeClr w14:val="tx1"/>
            </w14:solidFill>
          </w14:textFill>
        </w:rPr>
        <w:t>总 则</w:t>
      </w:r>
    </w:p>
    <w:p>
      <w:pPr>
        <w:numPr>
          <w:ilvl w:val="255"/>
          <w:numId w:val="0"/>
        </w:numPr>
        <w:adjustRightInd w:val="0"/>
        <w:snapToGrid w:val="0"/>
        <w:spacing w:line="560" w:lineRule="exact"/>
        <w:ind w:firstLine="643"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第一条</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为加快发展高新技术产业，激发企业创新活力，重点培育和鼓励引进一批快速增长、创新性强的优质企业，创建创新型园区，推进国家自主创新示范区建设，佛山高新区管委会决定开展瞪羚企业认定及扶持工作，特制定本办法。</w:t>
      </w:r>
    </w:p>
    <w:p>
      <w:pPr>
        <w:pStyle w:val="8"/>
        <w:widowControl/>
        <w:shd w:val="clear" w:color="auto" w:fill="FFFFFF"/>
        <w:adjustRightInd w:val="0"/>
        <w:snapToGrid w:val="0"/>
        <w:spacing w:beforeAutospacing="0" w:afterAutospacing="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shd w:val="clear" w:color="auto" w:fill="FFFFFF"/>
          <w14:textFill>
            <w14:solidFill>
              <w14:schemeClr w14:val="tx1"/>
            </w14:solidFill>
          </w14:textFill>
        </w:rPr>
        <w:t>第二条</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本办法所指瞪羚企业是指成长速度快、创新能力强、发展前景好、科技含量高，从事高新技术产业的成长型企业。</w:t>
      </w:r>
    </w:p>
    <w:p>
      <w:pPr>
        <w:pStyle w:val="8"/>
        <w:widowControl/>
        <w:shd w:val="clear" w:color="auto" w:fill="FFFFFF"/>
        <w:adjustRightInd w:val="0"/>
        <w:snapToGrid w:val="0"/>
        <w:spacing w:beforeAutospacing="0" w:afterAutospacing="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shd w:val="clear" w:color="auto" w:fill="FFFFFF"/>
          <w14:textFill>
            <w14:solidFill>
              <w14:schemeClr w14:val="tx1"/>
            </w14:solidFill>
          </w14:textFill>
        </w:rPr>
        <w:t xml:space="preserve">第三条 </w:t>
      </w:r>
      <w:r>
        <w:rPr>
          <w:rFonts w:hint="eastAsia" w:ascii="仿宋" w:hAnsi="仿宋" w:eastAsia="仿宋" w:cs="仿宋"/>
          <w:color w:val="000000" w:themeColor="text1"/>
          <w:sz w:val="32"/>
          <w:szCs w:val="32"/>
          <w:shd w:val="clear" w:color="auto" w:fill="FFFFFF"/>
          <w14:textFill>
            <w14:solidFill>
              <w14:schemeClr w14:val="tx1"/>
            </w14:solidFill>
          </w14:textFill>
        </w:rPr>
        <w:t>正式认定的佛山高新区瞪羚企业有效期为1年，到期后可再次申请认定。</w:t>
      </w:r>
    </w:p>
    <w:p>
      <w:pPr>
        <w:numPr>
          <w:ilvl w:val="255"/>
          <w:numId w:val="0"/>
        </w:numPr>
        <w:adjustRightInd w:val="0"/>
        <w:snapToGrid w:val="0"/>
        <w:spacing w:line="560" w:lineRule="exact"/>
        <w:jc w:val="center"/>
        <w:rPr>
          <w:rStyle w:val="10"/>
          <w:rFonts w:ascii="黑体" w:hAnsi="黑体" w:eastAsia="黑体" w:cs="黑体"/>
          <w:b w:val="0"/>
          <w:bCs/>
          <w:color w:val="000000" w:themeColor="text1"/>
          <w:sz w:val="32"/>
          <w:szCs w:val="32"/>
          <w:shd w:val="clear" w:color="auto" w:fill="FFFFFF"/>
          <w14:textFill>
            <w14:solidFill>
              <w14:schemeClr w14:val="tx1"/>
            </w14:solidFill>
          </w14:textFill>
        </w:rPr>
      </w:pPr>
      <w:r>
        <w:rPr>
          <w:rStyle w:val="10"/>
          <w:rFonts w:hint="eastAsia" w:ascii="黑体" w:hAnsi="黑体" w:eastAsia="黑体" w:cs="黑体"/>
          <w:b w:val="0"/>
          <w:bCs/>
          <w:color w:val="000000" w:themeColor="text1"/>
          <w:sz w:val="32"/>
          <w:szCs w:val="32"/>
          <w:shd w:val="clear" w:color="auto" w:fill="FFFFFF"/>
          <w14:textFill>
            <w14:solidFill>
              <w14:schemeClr w14:val="tx1"/>
            </w14:solidFill>
          </w14:textFill>
        </w:rPr>
        <w:t xml:space="preserve">第二章 </w:t>
      </w:r>
      <w:r>
        <w:rPr>
          <w:rStyle w:val="10"/>
          <w:rFonts w:ascii="黑体" w:hAnsi="黑体" w:eastAsia="黑体" w:cs="黑体"/>
          <w:b w:val="0"/>
          <w:bCs/>
          <w:color w:val="000000" w:themeColor="text1"/>
          <w:sz w:val="32"/>
          <w:szCs w:val="32"/>
          <w:shd w:val="clear" w:color="auto" w:fill="FFFFFF"/>
          <w14:textFill>
            <w14:solidFill>
              <w14:schemeClr w14:val="tx1"/>
            </w14:solidFill>
          </w14:textFill>
        </w:rPr>
        <w:t xml:space="preserve"> </w:t>
      </w:r>
      <w:r>
        <w:rPr>
          <w:rStyle w:val="10"/>
          <w:rFonts w:hint="eastAsia" w:ascii="黑体" w:hAnsi="黑体" w:eastAsia="黑体" w:cs="黑体"/>
          <w:b w:val="0"/>
          <w:bCs/>
          <w:color w:val="000000" w:themeColor="text1"/>
          <w:sz w:val="32"/>
          <w:szCs w:val="32"/>
          <w:shd w:val="clear" w:color="auto" w:fill="FFFFFF"/>
          <w14:textFill>
            <w14:solidFill>
              <w14:schemeClr w14:val="tx1"/>
            </w14:solidFill>
          </w14:textFill>
        </w:rPr>
        <w:t>认定条件</w:t>
      </w:r>
    </w:p>
    <w:p>
      <w:pPr>
        <w:adjustRightInd w:val="0"/>
        <w:snapToGrid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bookmarkStart w:id="0" w:name="_Hlk512428877"/>
      <w:r>
        <w:rPr>
          <w:rFonts w:hint="eastAsia" w:ascii="楷体" w:hAnsi="楷体" w:eastAsia="楷体" w:cs="楷体"/>
          <w:b/>
          <w:bCs/>
          <w:color w:val="000000" w:themeColor="text1"/>
          <w:sz w:val="32"/>
          <w:szCs w:val="32"/>
          <w:shd w:val="clear" w:color="auto" w:fill="FFFFFF"/>
          <w14:textFill>
            <w14:solidFill>
              <w14:schemeClr w14:val="tx1"/>
            </w14:solidFill>
          </w14:textFill>
        </w:rPr>
        <w:t>第四条</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企业申报“瞪羚企业”须满足以下全部条件：</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（一）在佛山高新区“一区五园”内注册三年以上且实地经营，财务制度健全、</w:t>
      </w:r>
      <w:bookmarkStart w:id="1" w:name="OLE_LINK19"/>
      <w:bookmarkEnd w:id="1"/>
      <w:bookmarkStart w:id="2" w:name="OLE_LINK18"/>
      <w:r>
        <w:rPr>
          <w:rFonts w:hint="eastAsia" w:ascii="仿宋" w:hAnsi="仿宋" w:eastAsia="仿宋" w:cs="仿宋"/>
          <w:color w:val="000000" w:themeColor="text1"/>
          <w:sz w:val="32"/>
          <w:szCs w:val="32"/>
          <w14:textFill>
            <w14:solidFill>
              <w14:schemeClr w14:val="tx1"/>
            </w14:solidFill>
          </w14:textFill>
        </w:rPr>
        <w:t>实行独立核算的</w:t>
      </w:r>
      <w:bookmarkEnd w:id="2"/>
      <w:r>
        <w:rPr>
          <w:rFonts w:hint="eastAsia" w:ascii="仿宋" w:hAnsi="仿宋" w:eastAsia="仿宋" w:cs="仿宋"/>
          <w:color w:val="000000" w:themeColor="text1"/>
          <w:sz w:val="32"/>
          <w:szCs w:val="32"/>
          <w14:textFill>
            <w14:solidFill>
              <w14:schemeClr w14:val="tx1"/>
            </w14:solidFill>
          </w14:textFill>
        </w:rPr>
        <w:t>企业。</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行业性质：符合佛山高新区产业发展方向，重点围绕汽车零部件制造、高端装备制造、智能制造、光电产业、新材料产业、智能家居、生物医药、现代服务业、电子信息、新能源、节能环保等行业或相关制造领域的生产性服务业领域；烟草、铁路、矿产资源、公用事业、房地产、基础建设、银行、保险、传统商贸等垄断型、资源型行业除外。</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（三）企业性质：非大型央企、国企、外企的生产基地、分公司、销售公司、贸易公司等。</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（四）企业无违法记录，近三年无重大安全事故。</w:t>
      </w:r>
    </w:p>
    <w:p>
      <w:pPr>
        <w:adjustRightInd w:val="0"/>
        <w:snapToGrid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第五条</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“瞪羚企业”的认定，须同时满足“规模效益指标”和“创新门槛指标”：</w:t>
      </w:r>
    </w:p>
    <w:p>
      <w:pPr>
        <w:adjustRightInd w:val="0"/>
        <w:snapToGrid w:val="0"/>
        <w:spacing w:line="56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（一）规模效益指标</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入选需满足以下条件之一：</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Ⅰ：企业成立时间不超过15年，近四年每年总收入不少于1000万元且复合增长率不低于20%，且上一年度年正增长；</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Ⅱ：企业成立时间不超过15年，近四年每年雇员总数不少于100人且复合增长率不低于30%，且上一年度正增长；</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Ⅲ：企业成立时间不超过5年，且上一年度总收入不低于5亿元，且近三年收入无大幅度下降（下降比例不超过10%）；</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Ⅳ：企业成立时间不超过10年，且上一年度总收入不低于10亿元，且近三年收入无大幅度下降（下降比例不超过10%）。</w:t>
      </w:r>
    </w:p>
    <w:p>
      <w:pPr>
        <w:adjustRightInd w:val="0"/>
        <w:snapToGrid w:val="0"/>
        <w:spacing w:line="56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（二）创新门槛指标</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入选需满足以下条件之一：</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A类：近四年平均研发投入强度（四年研发投入总和/四年收入总和）达到2.5%。</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B</w:t>
      </w:r>
      <w:r>
        <w:rPr>
          <w:rFonts w:hint="eastAsia" w:ascii="仿宋" w:hAnsi="仿宋" w:eastAsia="仿宋" w:cs="仿宋"/>
          <w:color w:val="000000" w:themeColor="text1"/>
          <w:sz w:val="32"/>
          <w:szCs w:val="32"/>
          <w14:textFill>
            <w14:solidFill>
              <w14:schemeClr w14:val="tx1"/>
            </w14:solidFill>
          </w14:textFill>
        </w:rPr>
        <w:t>类：筛选条件</w:t>
      </w:r>
      <w:r>
        <w:rPr>
          <w:rFonts w:ascii="仿宋" w:hAnsi="仿宋" w:eastAsia="仿宋" w:cs="仿宋"/>
          <w:color w:val="000000" w:themeColor="text1"/>
          <w:sz w:val="32"/>
          <w:szCs w:val="32"/>
          <w14:textFill>
            <w14:solidFill>
              <w14:schemeClr w14:val="tx1"/>
            </w14:solidFill>
          </w14:textFill>
        </w:rPr>
        <w:t>1：仅有</w:t>
      </w:r>
      <w:r>
        <w:rPr>
          <w:rFonts w:hint="eastAsia" w:ascii="仿宋" w:hAnsi="仿宋" w:eastAsia="仿宋" w:cs="仿宋"/>
          <w:color w:val="000000" w:themeColor="text1"/>
          <w:sz w:val="32"/>
          <w:szCs w:val="32"/>
          <w14:textFill>
            <w14:solidFill>
              <w14:schemeClr w14:val="tx1"/>
            </w14:solidFill>
          </w14:textFill>
        </w:rPr>
        <w:t>上一年度</w:t>
      </w:r>
      <w:r>
        <w:rPr>
          <w:rFonts w:ascii="仿宋" w:hAnsi="仿宋" w:eastAsia="仿宋" w:cs="仿宋"/>
          <w:color w:val="000000" w:themeColor="text1"/>
          <w:sz w:val="32"/>
          <w:szCs w:val="32"/>
          <w14:textFill>
            <w14:solidFill>
              <w14:schemeClr w14:val="tx1"/>
            </w14:solidFill>
          </w14:textFill>
        </w:rPr>
        <w:t>收入数据的企业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上</w:t>
      </w:r>
      <w:r>
        <w:rPr>
          <w:rFonts w:hint="eastAsia" w:ascii="仿宋" w:hAnsi="仿宋" w:eastAsia="仿宋" w:cs="仿宋"/>
          <w:color w:val="000000" w:themeColor="text1"/>
          <w:sz w:val="32"/>
          <w:szCs w:val="32"/>
          <w:lang w:eastAsia="zh-CN"/>
          <w14:textFill>
            <w14:solidFill>
              <w14:schemeClr w14:val="tx1"/>
            </w14:solidFill>
          </w14:textFill>
        </w:rPr>
        <w:t>一</w:t>
      </w:r>
      <w:r>
        <w:rPr>
          <w:rFonts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度</w:t>
      </w:r>
      <w:r>
        <w:rPr>
          <w:rFonts w:ascii="仿宋" w:hAnsi="仿宋" w:eastAsia="仿宋" w:cs="仿宋"/>
          <w:color w:val="000000" w:themeColor="text1"/>
          <w:sz w:val="32"/>
          <w:szCs w:val="32"/>
          <w14:textFill>
            <w14:solidFill>
              <w14:schemeClr w14:val="tx1"/>
            </w14:solidFill>
          </w14:textFill>
        </w:rPr>
        <w:t>总收入&gt;5亿元且注册时间</w:t>
      </w:r>
      <w:r>
        <w:rPr>
          <w:rFonts w:hint="eastAsia" w:ascii="仿宋" w:hAnsi="仿宋" w:eastAsia="仿宋" w:cs="仿宋"/>
          <w:color w:val="000000" w:themeColor="text1"/>
          <w:sz w:val="32"/>
          <w:szCs w:val="32"/>
          <w14:textFill>
            <w14:solidFill>
              <w14:schemeClr w14:val="tx1"/>
            </w14:solidFill>
          </w14:textFill>
        </w:rPr>
        <w:t>不超过8</w:t>
      </w:r>
      <w:r>
        <w:rPr>
          <w:rFonts w:ascii="仿宋" w:hAnsi="仿宋" w:eastAsia="仿宋" w:cs="仿宋"/>
          <w:color w:val="000000" w:themeColor="text1"/>
          <w:sz w:val="32"/>
          <w:szCs w:val="32"/>
          <w14:textFill>
            <w14:solidFill>
              <w14:schemeClr w14:val="tx1"/>
            </w14:solidFill>
          </w14:textFill>
        </w:rPr>
        <w:t>年；筛选条件2：有效数据两年以上的企业，</w:t>
      </w:r>
      <w:r>
        <w:rPr>
          <w:rFonts w:hint="eastAsia" w:ascii="仿宋" w:hAnsi="仿宋" w:eastAsia="仿宋" w:cs="仿宋"/>
          <w:color w:val="000000" w:themeColor="text1"/>
          <w:sz w:val="32"/>
          <w:szCs w:val="32"/>
          <w14:textFill>
            <w14:solidFill>
              <w14:schemeClr w14:val="tx1"/>
            </w14:solidFill>
          </w14:textFill>
        </w:rPr>
        <w:t>上</w:t>
      </w:r>
      <w:r>
        <w:rPr>
          <w:rFonts w:hint="eastAsia" w:ascii="仿宋" w:hAnsi="仿宋" w:eastAsia="仿宋" w:cs="仿宋"/>
          <w:color w:val="000000" w:themeColor="text1"/>
          <w:sz w:val="32"/>
          <w:szCs w:val="32"/>
          <w:lang w:eastAsia="zh-CN"/>
          <w14:textFill>
            <w14:solidFill>
              <w14:schemeClr w14:val="tx1"/>
            </w14:solidFill>
          </w14:textFill>
        </w:rPr>
        <w:t>一</w:t>
      </w:r>
      <w:r>
        <w:rPr>
          <w:rFonts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度</w:t>
      </w:r>
      <w:r>
        <w:rPr>
          <w:rFonts w:ascii="仿宋" w:hAnsi="仿宋" w:eastAsia="仿宋" w:cs="仿宋"/>
          <w:color w:val="000000" w:themeColor="text1"/>
          <w:sz w:val="32"/>
          <w:szCs w:val="32"/>
          <w14:textFill>
            <w14:solidFill>
              <w14:schemeClr w14:val="tx1"/>
            </w14:solidFill>
          </w14:textFill>
        </w:rPr>
        <w:t>总收入&gt;1亿元</w:t>
      </w:r>
      <w:r>
        <w:rPr>
          <w:rFonts w:hint="eastAsia" w:ascii="仿宋" w:hAnsi="仿宋" w:eastAsia="仿宋" w:cs="仿宋"/>
          <w:color w:val="000000" w:themeColor="text1"/>
          <w:sz w:val="32"/>
          <w:szCs w:val="32"/>
          <w14:textFill>
            <w14:solidFill>
              <w14:schemeClr w14:val="tx1"/>
            </w14:solidFill>
          </w14:textFill>
        </w:rPr>
        <w:t>且两年</w:t>
      </w:r>
      <w:r>
        <w:rPr>
          <w:rFonts w:ascii="仿宋" w:hAnsi="仿宋" w:eastAsia="仿宋" w:cs="仿宋"/>
          <w:color w:val="000000" w:themeColor="text1"/>
          <w:sz w:val="32"/>
          <w:szCs w:val="32"/>
          <w14:textFill>
            <w14:solidFill>
              <w14:schemeClr w14:val="tx1"/>
            </w14:solidFill>
          </w14:textFill>
        </w:rPr>
        <w:t>复合增长率&gt;30%。</w:t>
      </w:r>
      <w:bookmarkStart w:id="3" w:name="_GoBack"/>
      <w:bookmarkEnd w:id="3"/>
    </w:p>
    <w:p>
      <w:pPr>
        <w:adjustRightInd w:val="0"/>
        <w:snapToGrid w:val="0"/>
        <w:spacing w:line="560" w:lineRule="exact"/>
        <w:jc w:val="center"/>
        <w:rPr>
          <w:rStyle w:val="10"/>
          <w:rFonts w:ascii="黑体" w:hAnsi="黑体" w:eastAsia="黑体" w:cs="黑体"/>
          <w:b w:val="0"/>
          <w:color w:val="000000" w:themeColor="text1"/>
          <w:sz w:val="32"/>
          <w:szCs w:val="32"/>
          <w:shd w:val="clear" w:color="auto" w:fill="FFFFFF"/>
          <w14:textFill>
            <w14:solidFill>
              <w14:schemeClr w14:val="tx1"/>
            </w14:solidFill>
          </w14:textFill>
        </w:rPr>
      </w:pPr>
      <w:r>
        <w:rPr>
          <w:rStyle w:val="10"/>
          <w:rFonts w:ascii="黑体" w:hAnsi="黑体" w:eastAsia="黑体" w:cs="黑体"/>
          <w:b w:val="0"/>
          <w:color w:val="000000" w:themeColor="text1"/>
          <w:sz w:val="32"/>
          <w:szCs w:val="32"/>
          <w:shd w:val="clear" w:color="auto" w:fill="FFFFFF"/>
          <w14:textFill>
            <w14:solidFill>
              <w14:schemeClr w14:val="tx1"/>
            </w14:solidFill>
          </w14:textFill>
        </w:rPr>
        <w:t>第三章  认定程序</w:t>
      </w:r>
    </w:p>
    <w:p>
      <w:pPr>
        <w:adjustRightInd w:val="0"/>
        <w:snapToGrid w:val="0"/>
        <w:spacing w:line="560" w:lineRule="exact"/>
        <w:ind w:firstLine="643"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第六条</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佛山高新区瞪羚企业认定采取企业自愿申报、认定工作机构初步审核、佛山高新区管委会最终审定的方式进行。</w:t>
      </w:r>
    </w:p>
    <w:p>
      <w:pPr>
        <w:adjustRightInd w:val="0"/>
        <w:snapToGrid w:val="0"/>
        <w:spacing w:line="56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（一）申报</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申报企业注册并登陆“佛山瞪羚企业服务平台”（http://fs.chinagazelle.cn/cognizance/list）进行登录申报，在线提出申请，填写并线上提交申报材料，资料审核通过后完成申报。</w:t>
      </w:r>
    </w:p>
    <w:p>
      <w:pPr>
        <w:adjustRightInd w:val="0"/>
        <w:snapToGrid w:val="0"/>
        <w:spacing w:line="56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（二）遴选</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佛山高新区委托长城战略咨询进行企业筛选和评价等工作。长城战略咨询根据认定条件和认定要求，对企业进行资格审查，并提出符合条件的企业名单。</w:t>
      </w:r>
    </w:p>
    <w:p>
      <w:pPr>
        <w:adjustRightInd w:val="0"/>
        <w:snapToGrid w:val="0"/>
        <w:spacing w:line="56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（三）审议</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佛山高新区管委会办公会议</w:t>
      </w:r>
      <w:r>
        <w:rPr>
          <w:rFonts w:hint="eastAsia" w:ascii="仿宋" w:hAnsi="仿宋" w:eastAsia="仿宋" w:cs="仿宋"/>
          <w:color w:val="000000" w:themeColor="text1"/>
          <w:sz w:val="32"/>
          <w:szCs w:val="32"/>
          <w:shd w:val="clear" w:color="auto" w:fill="FFFFFF"/>
          <w14:textFill>
            <w14:solidFill>
              <w14:schemeClr w14:val="tx1"/>
            </w14:solidFill>
          </w14:textFill>
        </w:rPr>
        <w:t>讨论研究最终认定审核意见，初步确定“瞪羚企业”名单。</w:t>
      </w:r>
    </w:p>
    <w:p>
      <w:pPr>
        <w:adjustRightInd w:val="0"/>
        <w:snapToGrid w:val="0"/>
        <w:spacing w:line="56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（四）公布</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将初步确定的“瞪羚企业”名单</w:t>
      </w:r>
      <w:r>
        <w:rPr>
          <w:rFonts w:hint="eastAsia" w:ascii="仿宋" w:hAnsi="仿宋" w:eastAsia="仿宋" w:cs="仿宋"/>
          <w:color w:val="000000" w:themeColor="text1"/>
          <w:sz w:val="32"/>
          <w:szCs w:val="32"/>
          <w14:textFill>
            <w14:solidFill>
              <w14:schemeClr w14:val="tx1"/>
            </w14:solidFill>
          </w14:textFill>
        </w:rPr>
        <w:t>在佛山高新区官方网站上进行公示，公示无异议后对外公开发布。</w:t>
      </w:r>
    </w:p>
    <w:p>
      <w:pPr>
        <w:adjustRightInd w:val="0"/>
        <w:snapToGrid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第七条</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材料包括但不限于以下内容：</w:t>
      </w:r>
    </w:p>
    <w:p>
      <w:pPr>
        <w:pStyle w:val="8"/>
        <w:widowControl/>
        <w:shd w:val="clear" w:color="auto" w:fill="FFFFFF"/>
        <w:adjustRightInd w:val="0"/>
        <w:snapToGrid w:val="0"/>
        <w:spacing w:beforeAutospacing="0" w:afterAutospacing="0" w:line="560" w:lineRule="exact"/>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（一）佛山高新区瞪羚企业认定申报书（附件）；</w:t>
      </w:r>
    </w:p>
    <w:p>
      <w:pPr>
        <w:pStyle w:val="8"/>
        <w:widowControl/>
        <w:shd w:val="clear" w:color="auto" w:fill="FFFFFF"/>
        <w:adjustRightInd w:val="0"/>
        <w:snapToGrid w:val="0"/>
        <w:spacing w:beforeAutospacing="0" w:afterAutospacing="0" w:line="560" w:lineRule="exact"/>
        <w:ind w:firstLine="57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（二）企业情况介绍，主要内容为企业基本情况、主要产品、行业竞争力、发展规划等；</w:t>
      </w:r>
    </w:p>
    <w:p>
      <w:pPr>
        <w:pStyle w:val="8"/>
        <w:widowControl/>
        <w:shd w:val="clear" w:color="auto" w:fill="FFFFFF"/>
        <w:adjustRightInd w:val="0"/>
        <w:snapToGrid w:val="0"/>
        <w:spacing w:beforeAutospacing="0" w:afterAutospacing="0" w:line="560" w:lineRule="exact"/>
        <w:ind w:firstLine="57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（三）企业营业执照、组织机构代码证、税务登记证的副本扫描件；</w:t>
      </w:r>
    </w:p>
    <w:p>
      <w:pPr>
        <w:pStyle w:val="8"/>
        <w:widowControl/>
        <w:shd w:val="clear" w:color="auto" w:fill="FFFFFF"/>
        <w:adjustRightInd w:val="0"/>
        <w:snapToGrid w:val="0"/>
        <w:spacing w:beforeAutospacing="0" w:afterAutospacing="0" w:line="560" w:lineRule="exact"/>
        <w:ind w:firstLine="57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（四）经审计的企业近4年财务报表；</w:t>
      </w:r>
    </w:p>
    <w:p>
      <w:pPr>
        <w:pStyle w:val="8"/>
        <w:widowControl/>
        <w:shd w:val="clear" w:color="auto" w:fill="FFFFFF"/>
        <w:adjustRightInd w:val="0"/>
        <w:snapToGrid w:val="0"/>
        <w:spacing w:beforeAutospacing="0" w:afterAutospacing="0" w:line="560" w:lineRule="exact"/>
        <w:ind w:firstLine="57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（五）其他证明材料。</w:t>
      </w:r>
    </w:p>
    <w:p>
      <w:pPr>
        <w:adjustRightInd w:val="0"/>
        <w:snapToGrid w:val="0"/>
        <w:spacing w:line="560" w:lineRule="exact"/>
        <w:jc w:val="center"/>
        <w:rPr>
          <w:rStyle w:val="10"/>
          <w:rFonts w:ascii="黑体" w:hAnsi="黑体" w:eastAsia="黑体" w:cs="黑体"/>
          <w:b w:val="0"/>
          <w:bCs/>
          <w:color w:val="000000" w:themeColor="text1"/>
          <w:sz w:val="32"/>
          <w:szCs w:val="32"/>
          <w:shd w:val="clear" w:color="auto" w:fill="FFFFFF"/>
          <w14:textFill>
            <w14:solidFill>
              <w14:schemeClr w14:val="tx1"/>
            </w14:solidFill>
          </w14:textFill>
        </w:rPr>
      </w:pPr>
      <w:r>
        <w:rPr>
          <w:rStyle w:val="10"/>
          <w:rFonts w:ascii="黑体" w:hAnsi="黑体" w:eastAsia="黑体" w:cs="黑体"/>
          <w:b w:val="0"/>
          <w:color w:val="000000" w:themeColor="text1"/>
          <w:sz w:val="32"/>
          <w:szCs w:val="32"/>
          <w:shd w:val="clear" w:color="auto" w:fill="FFFFFF"/>
          <w14:textFill>
            <w14:solidFill>
              <w14:schemeClr w14:val="tx1"/>
            </w14:solidFill>
          </w14:textFill>
        </w:rPr>
        <w:t>第四章</w:t>
      </w:r>
      <w:r>
        <w:rPr>
          <w:rStyle w:val="10"/>
          <w:rFonts w:hint="eastAsia" w:ascii="黑体" w:hAnsi="黑体" w:eastAsia="黑体" w:cs="黑体"/>
          <w:b w:val="0"/>
          <w:color w:val="000000" w:themeColor="text1"/>
          <w:sz w:val="32"/>
          <w:szCs w:val="32"/>
          <w:shd w:val="clear" w:color="auto" w:fill="FFFFFF"/>
          <w14:textFill>
            <w14:solidFill>
              <w14:schemeClr w14:val="tx1"/>
            </w14:solidFill>
          </w14:textFill>
        </w:rPr>
        <w:t xml:space="preserve"> </w:t>
      </w:r>
      <w:r>
        <w:rPr>
          <w:rStyle w:val="10"/>
          <w:rFonts w:ascii="黑体" w:hAnsi="黑体" w:eastAsia="黑体" w:cs="黑体"/>
          <w:b w:val="0"/>
          <w:color w:val="000000" w:themeColor="text1"/>
          <w:sz w:val="32"/>
          <w:szCs w:val="32"/>
          <w:shd w:val="clear" w:color="auto" w:fill="FFFFFF"/>
          <w14:textFill>
            <w14:solidFill>
              <w14:schemeClr w14:val="tx1"/>
            </w14:solidFill>
          </w14:textFill>
        </w:rPr>
        <w:t xml:space="preserve"> </w:t>
      </w:r>
      <w:r>
        <w:rPr>
          <w:rStyle w:val="10"/>
          <w:rFonts w:ascii="黑体" w:hAnsi="黑体" w:eastAsia="黑体" w:cs="黑体"/>
          <w:b w:val="0"/>
          <w:bCs/>
          <w:color w:val="000000" w:themeColor="text1"/>
          <w:sz w:val="32"/>
          <w:szCs w:val="32"/>
          <w:shd w:val="clear" w:color="auto" w:fill="FFFFFF"/>
          <w14:textFill>
            <w14:solidFill>
              <w14:schemeClr w14:val="tx1"/>
            </w14:solidFill>
          </w14:textFill>
        </w:rPr>
        <w:t>扶持政策</w:t>
      </w:r>
    </w:p>
    <w:bookmarkEnd w:id="0"/>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第八条 加强企业认定奖励</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对首次通过佛山高新区“瞪羚企业”认定的，给予25万元一次性资金奖励；对于认定的瞪羚企业，政策有效期内首次入选北京市长城企业战略研究所发布的独角兽企业榜单，一次性给予1</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0万元的额外奖励。</w:t>
      </w:r>
    </w:p>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第九条 提升企业引智聚才</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认定有效期内，瞪羚企业的非本地户籍员工子女申请入读佛山高新区义务教育阶段公办学校，享受与户籍生同等的待遇，按照认定上一年度瞪羚企业的纳税额分配指标：纳税额</w:t>
      </w:r>
      <w:r>
        <w:rPr>
          <w:rFonts w:ascii="仿宋" w:hAnsi="仿宋" w:eastAsia="仿宋" w:cs="仿宋"/>
          <w:color w:val="000000" w:themeColor="text1"/>
          <w:sz w:val="32"/>
          <w:szCs w:val="32"/>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1</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万元的瞪羚企业，每家最多分配</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个指标；纳税额1</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纳税额</w:t>
      </w:r>
      <w:r>
        <w:rPr>
          <w:rFonts w:ascii="仿宋" w:hAnsi="仿宋" w:eastAsia="仿宋" w:cs="仿宋"/>
          <w:color w:val="000000" w:themeColor="text1"/>
          <w:sz w:val="32"/>
          <w:szCs w:val="32"/>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万元的瞪羚企业，每家最多分配</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个指标；纳税额≥5</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万元的瞪羚企业，每家最多分配1</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个指标。</w:t>
      </w:r>
    </w:p>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第十条 推进企业技术创新建设</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（一）对于认定的瞪羚企业按本年认定的研发投入总额的20%额外奖励，最高不超过60万元。</w:t>
      </w:r>
    </w:p>
    <w:p>
      <w:pPr>
        <w:adjustRightInd w:val="0"/>
        <w:snapToGrid w:val="0"/>
        <w:spacing w:line="560" w:lineRule="exact"/>
        <w:ind w:firstLine="640" w:firstLineChars="200"/>
        <w:rPr>
          <w:rFonts w:ascii="仿宋" w:hAnsi="仿宋" w:eastAsia="仿宋" w:cs="仿宋"/>
          <w:i/>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为了推进企业智能化升级，对于认定的瞪羚企业，被评选为佛山市机器人应用示范项目的企业，给予50万元的一次性额外资金奖励；在获得佛山市机器人应用示范企业基础上，又获得国家工信部智能制造试点示范立项批复的瞪羚企业，再次给予30万元的一次性资金奖励。</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（三）鼓励符合战略新兴产业发展方向的瞪羚企业转化或应用国内外高校、科研院所的科技创新成果，对成果交易受让企业给予首次成果交易费用10%的资金补贴，最高不超过20万元。</w:t>
      </w:r>
    </w:p>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第十一条 创新融资政策支持</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鼓励瞪羚企业拓宽融资方式，促进企业获得风险投资，按瞪羚企业首轮融资额的3%给予风险投资管理机构奖励，单个风险投资项目扶持资金总额不超过30万元；对获得风险投资机构投资的瞪羚企业，按首轮融资额的5%给予瞪羚企业奖励，单个风险投资项目扶持资金总额不超过50万元。</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设立企业融资专项资金，用以企业融资补贴。对当年度认定的瞪羚企业予以银行贷款贴息支持，补贴金额为企业在认定当年支付银行贷款利息总额的30%，瞪羚企业在本办法实行期内贴息额最高不超过30万元。</w:t>
      </w:r>
    </w:p>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第十二条 加强空间资源要素保障</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优先向上一年营业收入超过5亿元，在佛山高新区累计税收超过4000万的瞪羚企业增资扩产项目供应土地。</w:t>
      </w:r>
    </w:p>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第十三条 搭建瞪羚俱乐部</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通过定期举办不同主题的“瞪羚俱乐部”交流会，以科技创新、金融、管理等领域为主题，对接国内外知名专家、企业领袖，增加“瞪羚企业”与高端创新资源之间的交流合作。</w:t>
      </w:r>
    </w:p>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第十四条 鼓励企业规范内部管理</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了进一步促进企业管理模式创新，设立企业咨询专项资金，用于补贴本年度认定的瞪羚企业采购管理专题培训、战略规划制定、商业模式设计、组织架构优化、岗位绩效提升、投资并购咨询、信息化建设、智能化改造等咨询服务的开支，以咨询费用的50%进行补贴，在认定为瞪羚企业的年度内，每家企业的补贴金额上限为30万元/年。</w:t>
      </w:r>
    </w:p>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第十五条 促进企业加强外部交流</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强对接国际先进理念与技术，每年组织一期瞪羚企业高层管理人员学习交流会，到国外知名企业学习借鉴其经营理念、管理模式以及技术创新经验，涉及的交通费及住宿费由管委会按照公务标准给予50%的费用补贴。</w:t>
      </w:r>
    </w:p>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第十六条 支持企业市场拓展</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扶持瞪羚企业开拓市场，针对佛山市高新区的重点工程、示范项目，在同等条件下优先面向瞪羚企业采购，并推荐瞪羚企业参与国家、省、市重大项目政府采购。</w:t>
      </w:r>
    </w:p>
    <w:p>
      <w:pPr>
        <w:adjustRightInd w:val="0"/>
        <w:snapToGrid w:val="0"/>
        <w:spacing w:line="560" w:lineRule="exact"/>
        <w:ind w:firstLine="643" w:firstLineChars="200"/>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第十七条 鼓励企业本土化采购</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认定有效期内的瞪羚企业，向无关联关系的佛山高新区内企业销售产品，开票销售收入达到500万元以上的，奖励瞪羚企业10万元，每家企业最高不超过30万元/年的奖励；向无关联关系的佛山高新区企业采购产品超过500万元的瞪羚企业，按照采购额2%给予补助，最高不超过50万元/年。</w:t>
      </w:r>
    </w:p>
    <w:p>
      <w:pPr>
        <w:widowControl/>
        <w:shd w:val="clear" w:color="auto" w:fill="FFFFFF"/>
        <w:adjustRightInd w:val="0"/>
        <w:snapToGrid w:val="0"/>
        <w:spacing w:line="560" w:lineRule="exact"/>
        <w:jc w:val="center"/>
        <w:rPr>
          <w:rStyle w:val="10"/>
          <w:rFonts w:ascii="黑体" w:hAnsi="黑体" w:eastAsia="黑体" w:cs="黑体"/>
          <w:bCs/>
          <w:color w:val="000000" w:themeColor="text1"/>
          <w:sz w:val="32"/>
          <w:szCs w:val="32"/>
          <w:shd w:val="clear" w:color="auto" w:fill="FFFFFF"/>
          <w14:textFill>
            <w14:solidFill>
              <w14:schemeClr w14:val="tx1"/>
            </w14:solidFill>
          </w14:textFill>
        </w:rPr>
      </w:pPr>
      <w:r>
        <w:rPr>
          <w:rStyle w:val="10"/>
          <w:rFonts w:hint="eastAsia" w:ascii="黑体" w:hAnsi="黑体" w:eastAsia="黑体" w:cs="黑体"/>
          <w:b w:val="0"/>
          <w:bCs/>
          <w:color w:val="000000" w:themeColor="text1"/>
          <w:sz w:val="32"/>
          <w:szCs w:val="32"/>
          <w:shd w:val="clear" w:color="auto" w:fill="FFFFFF"/>
          <w14:textFill>
            <w14:solidFill>
              <w14:schemeClr w14:val="tx1"/>
            </w14:solidFill>
          </w14:textFill>
        </w:rPr>
        <w:t xml:space="preserve">第五章 </w:t>
      </w:r>
      <w:r>
        <w:rPr>
          <w:rStyle w:val="10"/>
          <w:rFonts w:ascii="黑体" w:hAnsi="黑体" w:eastAsia="黑体" w:cs="黑体"/>
          <w:b w:val="0"/>
          <w:bCs/>
          <w:color w:val="000000" w:themeColor="text1"/>
          <w:sz w:val="32"/>
          <w:szCs w:val="32"/>
          <w:shd w:val="clear" w:color="auto" w:fill="FFFFFF"/>
          <w14:textFill>
            <w14:solidFill>
              <w14:schemeClr w14:val="tx1"/>
            </w14:solidFill>
          </w14:textFill>
        </w:rPr>
        <w:t xml:space="preserve"> </w:t>
      </w:r>
      <w:r>
        <w:rPr>
          <w:rStyle w:val="10"/>
          <w:rFonts w:hint="eastAsia" w:ascii="黑体" w:hAnsi="黑体" w:eastAsia="黑体" w:cs="黑体"/>
          <w:b w:val="0"/>
          <w:bCs/>
          <w:color w:val="000000" w:themeColor="text1"/>
          <w:sz w:val="32"/>
          <w:szCs w:val="32"/>
          <w:shd w:val="clear" w:color="auto" w:fill="FFFFFF"/>
          <w14:textFill>
            <w14:solidFill>
              <w14:schemeClr w14:val="tx1"/>
            </w14:solidFill>
          </w14:textFill>
        </w:rPr>
        <w:t>附 则</w:t>
      </w:r>
    </w:p>
    <w:p>
      <w:pPr>
        <w:pStyle w:val="8"/>
        <w:widowControl/>
        <w:shd w:val="clear" w:color="auto" w:fill="FFFFFF"/>
        <w:adjustRightInd w:val="0"/>
        <w:snapToGrid w:val="0"/>
        <w:spacing w:beforeAutospacing="0" w:afterAutospacing="0" w:line="560" w:lineRule="exact"/>
        <w:ind w:firstLine="643" w:firstLineChars="200"/>
        <w:jc w:val="both"/>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shd w:val="clear" w:color="auto" w:fill="FFFFFF"/>
          <w14:textFill>
            <w14:solidFill>
              <w14:schemeClr w14:val="tx1"/>
            </w14:solidFill>
          </w14:textFill>
        </w:rPr>
        <w:t>第十八条</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申报单位应提供真实的材料和凭证，如有弄虚作假者，一经发现，已发放的费用全数退回，三年内取消申报各级各类奖励奖项和承担各级各类科技计划项目的资格。情节严重的，依法追究其法律责任。</w:t>
      </w:r>
    </w:p>
    <w:p>
      <w:pPr>
        <w:pStyle w:val="8"/>
        <w:widowControl/>
        <w:shd w:val="clear" w:color="auto" w:fill="FFFFFF"/>
        <w:adjustRightInd w:val="0"/>
        <w:snapToGrid w:val="0"/>
        <w:spacing w:beforeAutospacing="0" w:afterAutospacing="0" w:line="560" w:lineRule="exact"/>
        <w:ind w:firstLine="643"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kern w:val="2"/>
          <w:sz w:val="32"/>
          <w:szCs w:val="32"/>
          <w:shd w:val="clear" w:color="auto" w:fill="FFFFFF"/>
          <w14:textFill>
            <w14:solidFill>
              <w14:schemeClr w14:val="tx1"/>
            </w14:solidFill>
          </w14:textFill>
        </w:rPr>
        <w:t>第十九条</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本办法由</w:t>
      </w:r>
      <w:r>
        <w:rPr>
          <w:rFonts w:hint="eastAsia" w:ascii="仿宋" w:hAnsi="仿宋" w:eastAsia="仿宋" w:cs="仿宋"/>
          <w:color w:val="000000" w:themeColor="text1"/>
          <w:sz w:val="32"/>
          <w:szCs w:val="32"/>
          <w14:textFill>
            <w14:solidFill>
              <w14:schemeClr w14:val="tx1"/>
            </w14:solidFill>
          </w14:textFill>
        </w:rPr>
        <w:t>佛山高新区管委会XX部门</w:t>
      </w:r>
      <w:r>
        <w:rPr>
          <w:rFonts w:hint="eastAsia" w:ascii="仿宋" w:hAnsi="仿宋" w:eastAsia="仿宋" w:cs="仿宋"/>
          <w:color w:val="000000" w:themeColor="text1"/>
          <w:sz w:val="32"/>
          <w:szCs w:val="32"/>
          <w:shd w:val="clear" w:color="auto" w:fill="FFFFFF"/>
          <w14:textFill>
            <w14:solidFill>
              <w14:schemeClr w14:val="tx1"/>
            </w14:solidFill>
          </w14:textFill>
        </w:rPr>
        <w:t>负责解释。</w:t>
      </w:r>
    </w:p>
    <w:p>
      <w:pPr>
        <w:pStyle w:val="8"/>
        <w:widowControl/>
        <w:shd w:val="clear" w:color="auto" w:fill="FFFFFF"/>
        <w:adjustRightInd w:val="0"/>
        <w:snapToGrid w:val="0"/>
        <w:spacing w:beforeAutospacing="0" w:afterAutospacing="0" w:line="560" w:lineRule="exact"/>
        <w:ind w:firstLine="643" w:firstLineChars="200"/>
        <w:jc w:val="both"/>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shd w:val="clear" w:color="auto" w:fill="FFFFFF"/>
          <w14:textFill>
            <w14:solidFill>
              <w14:schemeClr w14:val="tx1"/>
            </w14:solidFill>
          </w14:textFill>
        </w:rPr>
        <w:t>第二十条</w:t>
      </w:r>
      <w:r>
        <w:rPr>
          <w:rFonts w:hint="eastAsia" w:ascii="仿宋" w:hAnsi="仿宋" w:eastAsia="仿宋" w:cs="仿宋"/>
          <w:color w:val="000000" w:themeColor="text1"/>
          <w:sz w:val="32"/>
          <w:szCs w:val="32"/>
          <w14:textFill>
            <w14:solidFill>
              <w14:schemeClr w14:val="tx1"/>
            </w14:solidFill>
          </w14:textFill>
        </w:rPr>
        <w:t xml:space="preserve"> 本办法与其他各级同类扶持政策实行“从高不重复”原则。</w:t>
      </w:r>
    </w:p>
    <w:p>
      <w:pPr>
        <w:pStyle w:val="8"/>
        <w:widowControl/>
        <w:shd w:val="clear" w:color="auto" w:fill="FFFFFF"/>
        <w:adjustRightInd w:val="0"/>
        <w:snapToGrid w:val="0"/>
        <w:spacing w:beforeAutospacing="0" w:afterAutospacing="0" w:line="560" w:lineRule="exact"/>
        <w:ind w:firstLine="643" w:firstLineChars="200"/>
        <w:jc w:val="both"/>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shd w:val="clear" w:color="auto" w:fill="FFFFFF"/>
          <w14:textFill>
            <w14:solidFill>
              <w14:schemeClr w14:val="tx1"/>
            </w14:solidFill>
          </w14:textFill>
        </w:rPr>
        <w:t>第二十一条</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本办法自2018年1月1日起实施，有效期至2020年12月31日。</w:t>
      </w:r>
    </w:p>
    <w:p>
      <w:pPr>
        <w:adjustRightInd w:val="0"/>
        <w:snapToGrid w:val="0"/>
        <w:spacing w:line="560" w:lineRule="exact"/>
        <w:rPr>
          <w:rFonts w:ascii="仿宋" w:hAnsi="仿宋" w:eastAsia="仿宋" w:cs="仿宋"/>
          <w:color w:val="000000" w:themeColor="text1"/>
          <w:sz w:val="32"/>
          <w:szCs w:val="32"/>
          <w:highlight w:val="yellow"/>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E8"/>
    <w:rsid w:val="00013D91"/>
    <w:rsid w:val="000150F2"/>
    <w:rsid w:val="00016EA9"/>
    <w:rsid w:val="000235EF"/>
    <w:rsid w:val="00037746"/>
    <w:rsid w:val="00043369"/>
    <w:rsid w:val="00047782"/>
    <w:rsid w:val="00051C7D"/>
    <w:rsid w:val="00063A82"/>
    <w:rsid w:val="000646FC"/>
    <w:rsid w:val="0006775E"/>
    <w:rsid w:val="00082A0D"/>
    <w:rsid w:val="00082D5E"/>
    <w:rsid w:val="00096A08"/>
    <w:rsid w:val="000A265E"/>
    <w:rsid w:val="000A621D"/>
    <w:rsid w:val="000C2750"/>
    <w:rsid w:val="000F66FE"/>
    <w:rsid w:val="00124FE7"/>
    <w:rsid w:val="00127AAE"/>
    <w:rsid w:val="00137984"/>
    <w:rsid w:val="00137BAF"/>
    <w:rsid w:val="001410B5"/>
    <w:rsid w:val="00142DD7"/>
    <w:rsid w:val="00154CB2"/>
    <w:rsid w:val="0016402C"/>
    <w:rsid w:val="001861F7"/>
    <w:rsid w:val="001962FB"/>
    <w:rsid w:val="001A3506"/>
    <w:rsid w:val="001C22E0"/>
    <w:rsid w:val="001F513E"/>
    <w:rsid w:val="00211734"/>
    <w:rsid w:val="00217CD4"/>
    <w:rsid w:val="00223074"/>
    <w:rsid w:val="0022750C"/>
    <w:rsid w:val="0022790D"/>
    <w:rsid w:val="00230BFF"/>
    <w:rsid w:val="002335EB"/>
    <w:rsid w:val="00234444"/>
    <w:rsid w:val="00236577"/>
    <w:rsid w:val="00240DFE"/>
    <w:rsid w:val="002432FE"/>
    <w:rsid w:val="0025250C"/>
    <w:rsid w:val="002579EB"/>
    <w:rsid w:val="002637C9"/>
    <w:rsid w:val="002641DC"/>
    <w:rsid w:val="00264850"/>
    <w:rsid w:val="002671C6"/>
    <w:rsid w:val="002748B1"/>
    <w:rsid w:val="00281A5D"/>
    <w:rsid w:val="002833BE"/>
    <w:rsid w:val="0028758A"/>
    <w:rsid w:val="00291F5C"/>
    <w:rsid w:val="002A3056"/>
    <w:rsid w:val="002A747B"/>
    <w:rsid w:val="002C4D55"/>
    <w:rsid w:val="002E2B7A"/>
    <w:rsid w:val="0030427D"/>
    <w:rsid w:val="0031095B"/>
    <w:rsid w:val="00320E00"/>
    <w:rsid w:val="003256FC"/>
    <w:rsid w:val="00326199"/>
    <w:rsid w:val="003274D5"/>
    <w:rsid w:val="00331250"/>
    <w:rsid w:val="00337EE2"/>
    <w:rsid w:val="00344428"/>
    <w:rsid w:val="00344BF2"/>
    <w:rsid w:val="00351F73"/>
    <w:rsid w:val="00370682"/>
    <w:rsid w:val="00381704"/>
    <w:rsid w:val="00384C5B"/>
    <w:rsid w:val="00390B86"/>
    <w:rsid w:val="00391F44"/>
    <w:rsid w:val="003964E3"/>
    <w:rsid w:val="00396AA6"/>
    <w:rsid w:val="003A0BD1"/>
    <w:rsid w:val="003A2C16"/>
    <w:rsid w:val="003B09C7"/>
    <w:rsid w:val="003B43E1"/>
    <w:rsid w:val="003C3424"/>
    <w:rsid w:val="003D2B8F"/>
    <w:rsid w:val="003E1308"/>
    <w:rsid w:val="003E1DB2"/>
    <w:rsid w:val="003F1406"/>
    <w:rsid w:val="003F3119"/>
    <w:rsid w:val="00402719"/>
    <w:rsid w:val="004174AA"/>
    <w:rsid w:val="00424CD6"/>
    <w:rsid w:val="00426E86"/>
    <w:rsid w:val="00446E56"/>
    <w:rsid w:val="00460D58"/>
    <w:rsid w:val="00463FE0"/>
    <w:rsid w:val="0046647A"/>
    <w:rsid w:val="00467907"/>
    <w:rsid w:val="00471EB2"/>
    <w:rsid w:val="00481420"/>
    <w:rsid w:val="004A3E65"/>
    <w:rsid w:val="004A78E0"/>
    <w:rsid w:val="004B005F"/>
    <w:rsid w:val="004C063A"/>
    <w:rsid w:val="004D552B"/>
    <w:rsid w:val="004E11A5"/>
    <w:rsid w:val="004E70BE"/>
    <w:rsid w:val="004F6AAB"/>
    <w:rsid w:val="00501183"/>
    <w:rsid w:val="00501CBE"/>
    <w:rsid w:val="00502B53"/>
    <w:rsid w:val="00502CBA"/>
    <w:rsid w:val="005140AE"/>
    <w:rsid w:val="00521DEF"/>
    <w:rsid w:val="0053426C"/>
    <w:rsid w:val="005347C7"/>
    <w:rsid w:val="005400F8"/>
    <w:rsid w:val="0055015D"/>
    <w:rsid w:val="00552E6E"/>
    <w:rsid w:val="00553C55"/>
    <w:rsid w:val="00560BC4"/>
    <w:rsid w:val="00561BC4"/>
    <w:rsid w:val="0056221E"/>
    <w:rsid w:val="005629F8"/>
    <w:rsid w:val="00564A4F"/>
    <w:rsid w:val="00564CBA"/>
    <w:rsid w:val="00574E5B"/>
    <w:rsid w:val="005762CA"/>
    <w:rsid w:val="0058242D"/>
    <w:rsid w:val="005903E8"/>
    <w:rsid w:val="00590C1B"/>
    <w:rsid w:val="005B032F"/>
    <w:rsid w:val="005B1DD4"/>
    <w:rsid w:val="005C2CD7"/>
    <w:rsid w:val="005C4A55"/>
    <w:rsid w:val="005C50A5"/>
    <w:rsid w:val="005D0B8D"/>
    <w:rsid w:val="005D757A"/>
    <w:rsid w:val="005E4C3A"/>
    <w:rsid w:val="005E7BE9"/>
    <w:rsid w:val="005F0304"/>
    <w:rsid w:val="005F0F64"/>
    <w:rsid w:val="005F3267"/>
    <w:rsid w:val="00603C4D"/>
    <w:rsid w:val="006065A7"/>
    <w:rsid w:val="006107A9"/>
    <w:rsid w:val="00632DE2"/>
    <w:rsid w:val="00642B7B"/>
    <w:rsid w:val="00646547"/>
    <w:rsid w:val="00670592"/>
    <w:rsid w:val="00681C8D"/>
    <w:rsid w:val="006847F5"/>
    <w:rsid w:val="00684FF8"/>
    <w:rsid w:val="006915DF"/>
    <w:rsid w:val="0069392F"/>
    <w:rsid w:val="006A0310"/>
    <w:rsid w:val="006A7A52"/>
    <w:rsid w:val="006B1D62"/>
    <w:rsid w:val="006B3F7C"/>
    <w:rsid w:val="006D262F"/>
    <w:rsid w:val="006D5170"/>
    <w:rsid w:val="006E38EB"/>
    <w:rsid w:val="007006BC"/>
    <w:rsid w:val="00701E61"/>
    <w:rsid w:val="007059FA"/>
    <w:rsid w:val="0071085D"/>
    <w:rsid w:val="00716AC2"/>
    <w:rsid w:val="00722369"/>
    <w:rsid w:val="00725A79"/>
    <w:rsid w:val="00735F9E"/>
    <w:rsid w:val="0073727F"/>
    <w:rsid w:val="00747EDF"/>
    <w:rsid w:val="00766CF3"/>
    <w:rsid w:val="0077469D"/>
    <w:rsid w:val="00775496"/>
    <w:rsid w:val="00780114"/>
    <w:rsid w:val="007818E6"/>
    <w:rsid w:val="007868A7"/>
    <w:rsid w:val="00791126"/>
    <w:rsid w:val="00796C5D"/>
    <w:rsid w:val="007A2A17"/>
    <w:rsid w:val="007A5270"/>
    <w:rsid w:val="007A669B"/>
    <w:rsid w:val="007C486D"/>
    <w:rsid w:val="007E21C6"/>
    <w:rsid w:val="007E303A"/>
    <w:rsid w:val="007E7BFC"/>
    <w:rsid w:val="007F35F4"/>
    <w:rsid w:val="00802B26"/>
    <w:rsid w:val="00806505"/>
    <w:rsid w:val="008204AC"/>
    <w:rsid w:val="0083193F"/>
    <w:rsid w:val="008400FE"/>
    <w:rsid w:val="00840DFC"/>
    <w:rsid w:val="00845C6B"/>
    <w:rsid w:val="00852AAD"/>
    <w:rsid w:val="00852E6A"/>
    <w:rsid w:val="008637E6"/>
    <w:rsid w:val="00867F9D"/>
    <w:rsid w:val="00875696"/>
    <w:rsid w:val="00876646"/>
    <w:rsid w:val="00892631"/>
    <w:rsid w:val="008A0BE1"/>
    <w:rsid w:val="008B1D49"/>
    <w:rsid w:val="008B313F"/>
    <w:rsid w:val="008B5E33"/>
    <w:rsid w:val="008B5E4C"/>
    <w:rsid w:val="008B69F0"/>
    <w:rsid w:val="008C0EEE"/>
    <w:rsid w:val="008D3FD0"/>
    <w:rsid w:val="008D72CB"/>
    <w:rsid w:val="008D737F"/>
    <w:rsid w:val="008E0250"/>
    <w:rsid w:val="00903C3A"/>
    <w:rsid w:val="00905732"/>
    <w:rsid w:val="009103C0"/>
    <w:rsid w:val="00924A44"/>
    <w:rsid w:val="00926533"/>
    <w:rsid w:val="0095250E"/>
    <w:rsid w:val="0095758E"/>
    <w:rsid w:val="00965DBA"/>
    <w:rsid w:val="00967B2F"/>
    <w:rsid w:val="009725BA"/>
    <w:rsid w:val="00983ACF"/>
    <w:rsid w:val="00993AC7"/>
    <w:rsid w:val="009A1B9F"/>
    <w:rsid w:val="009B00A5"/>
    <w:rsid w:val="009B37E9"/>
    <w:rsid w:val="009C106E"/>
    <w:rsid w:val="009C6851"/>
    <w:rsid w:val="009D1468"/>
    <w:rsid w:val="009D7EFD"/>
    <w:rsid w:val="009E30E8"/>
    <w:rsid w:val="009E5716"/>
    <w:rsid w:val="009E5D9C"/>
    <w:rsid w:val="009F721D"/>
    <w:rsid w:val="00A03991"/>
    <w:rsid w:val="00A15B87"/>
    <w:rsid w:val="00A164BB"/>
    <w:rsid w:val="00A2008F"/>
    <w:rsid w:val="00A20891"/>
    <w:rsid w:val="00A337F3"/>
    <w:rsid w:val="00A41268"/>
    <w:rsid w:val="00A41D75"/>
    <w:rsid w:val="00A521F5"/>
    <w:rsid w:val="00A7181B"/>
    <w:rsid w:val="00A742D2"/>
    <w:rsid w:val="00A80F95"/>
    <w:rsid w:val="00A96FA2"/>
    <w:rsid w:val="00AA3FBD"/>
    <w:rsid w:val="00AB74C3"/>
    <w:rsid w:val="00AC0962"/>
    <w:rsid w:val="00AC12FD"/>
    <w:rsid w:val="00AC3435"/>
    <w:rsid w:val="00AD3C6A"/>
    <w:rsid w:val="00B058C4"/>
    <w:rsid w:val="00B06CBD"/>
    <w:rsid w:val="00B1700D"/>
    <w:rsid w:val="00B27E7C"/>
    <w:rsid w:val="00B30707"/>
    <w:rsid w:val="00B36F3F"/>
    <w:rsid w:val="00B64A58"/>
    <w:rsid w:val="00B66520"/>
    <w:rsid w:val="00B82D74"/>
    <w:rsid w:val="00B86E08"/>
    <w:rsid w:val="00B91DDE"/>
    <w:rsid w:val="00BA1A28"/>
    <w:rsid w:val="00BA27EE"/>
    <w:rsid w:val="00BA775F"/>
    <w:rsid w:val="00BB78E0"/>
    <w:rsid w:val="00BC03D1"/>
    <w:rsid w:val="00BC2A45"/>
    <w:rsid w:val="00BD08E2"/>
    <w:rsid w:val="00BD6F0F"/>
    <w:rsid w:val="00BE1728"/>
    <w:rsid w:val="00BE39A7"/>
    <w:rsid w:val="00BE3AAF"/>
    <w:rsid w:val="00C03B78"/>
    <w:rsid w:val="00C215E0"/>
    <w:rsid w:val="00C30DD5"/>
    <w:rsid w:val="00C333A1"/>
    <w:rsid w:val="00C43552"/>
    <w:rsid w:val="00C5003C"/>
    <w:rsid w:val="00C56B43"/>
    <w:rsid w:val="00C57796"/>
    <w:rsid w:val="00C71158"/>
    <w:rsid w:val="00C732C8"/>
    <w:rsid w:val="00C76D4E"/>
    <w:rsid w:val="00C81B7D"/>
    <w:rsid w:val="00C948FF"/>
    <w:rsid w:val="00C94FD9"/>
    <w:rsid w:val="00CA4862"/>
    <w:rsid w:val="00CA5029"/>
    <w:rsid w:val="00CC3599"/>
    <w:rsid w:val="00CD3C46"/>
    <w:rsid w:val="00D029BF"/>
    <w:rsid w:val="00D13662"/>
    <w:rsid w:val="00D15938"/>
    <w:rsid w:val="00D15A93"/>
    <w:rsid w:val="00D222EC"/>
    <w:rsid w:val="00D23246"/>
    <w:rsid w:val="00D31F40"/>
    <w:rsid w:val="00D449CA"/>
    <w:rsid w:val="00D4791C"/>
    <w:rsid w:val="00D743B1"/>
    <w:rsid w:val="00D76AFA"/>
    <w:rsid w:val="00D8183A"/>
    <w:rsid w:val="00D826D2"/>
    <w:rsid w:val="00DA3FA9"/>
    <w:rsid w:val="00DA59BB"/>
    <w:rsid w:val="00DA5EB1"/>
    <w:rsid w:val="00DB57C5"/>
    <w:rsid w:val="00DB72DB"/>
    <w:rsid w:val="00DB7ED3"/>
    <w:rsid w:val="00DC2C74"/>
    <w:rsid w:val="00DD24BC"/>
    <w:rsid w:val="00DD395F"/>
    <w:rsid w:val="00DE5AF9"/>
    <w:rsid w:val="00DE6B0E"/>
    <w:rsid w:val="00E00795"/>
    <w:rsid w:val="00E078DD"/>
    <w:rsid w:val="00E16E42"/>
    <w:rsid w:val="00E27F27"/>
    <w:rsid w:val="00E3065E"/>
    <w:rsid w:val="00E368B5"/>
    <w:rsid w:val="00E36A82"/>
    <w:rsid w:val="00E36B39"/>
    <w:rsid w:val="00E41614"/>
    <w:rsid w:val="00E41B34"/>
    <w:rsid w:val="00E44654"/>
    <w:rsid w:val="00E501C2"/>
    <w:rsid w:val="00E60F49"/>
    <w:rsid w:val="00E61D9F"/>
    <w:rsid w:val="00E62C9A"/>
    <w:rsid w:val="00E84C6C"/>
    <w:rsid w:val="00E84D39"/>
    <w:rsid w:val="00E84DFA"/>
    <w:rsid w:val="00E87445"/>
    <w:rsid w:val="00E972A3"/>
    <w:rsid w:val="00EA53F5"/>
    <w:rsid w:val="00EB5645"/>
    <w:rsid w:val="00EC0E0F"/>
    <w:rsid w:val="00EE4F3A"/>
    <w:rsid w:val="00EE54F1"/>
    <w:rsid w:val="00EE6DE6"/>
    <w:rsid w:val="00EE724B"/>
    <w:rsid w:val="00EF7919"/>
    <w:rsid w:val="00F07EA3"/>
    <w:rsid w:val="00F123B4"/>
    <w:rsid w:val="00F13B98"/>
    <w:rsid w:val="00F2720F"/>
    <w:rsid w:val="00F27A83"/>
    <w:rsid w:val="00F30BAF"/>
    <w:rsid w:val="00F330A3"/>
    <w:rsid w:val="00F502A3"/>
    <w:rsid w:val="00F53DD9"/>
    <w:rsid w:val="00F55227"/>
    <w:rsid w:val="00F600EC"/>
    <w:rsid w:val="00F71726"/>
    <w:rsid w:val="00F94E42"/>
    <w:rsid w:val="00F9736C"/>
    <w:rsid w:val="00FA627E"/>
    <w:rsid w:val="00FA76D8"/>
    <w:rsid w:val="00FE269F"/>
    <w:rsid w:val="00FF2156"/>
    <w:rsid w:val="02345FEB"/>
    <w:rsid w:val="07653857"/>
    <w:rsid w:val="0A422F7B"/>
    <w:rsid w:val="13CF205C"/>
    <w:rsid w:val="13EF2120"/>
    <w:rsid w:val="14DE5B08"/>
    <w:rsid w:val="19EB662A"/>
    <w:rsid w:val="1B883FEE"/>
    <w:rsid w:val="1DAF4B64"/>
    <w:rsid w:val="1ECD0FF5"/>
    <w:rsid w:val="28911B35"/>
    <w:rsid w:val="2E4C4C31"/>
    <w:rsid w:val="2F6E709B"/>
    <w:rsid w:val="3264079D"/>
    <w:rsid w:val="331543C3"/>
    <w:rsid w:val="33726961"/>
    <w:rsid w:val="351F5225"/>
    <w:rsid w:val="37BB37E0"/>
    <w:rsid w:val="38425F80"/>
    <w:rsid w:val="39402113"/>
    <w:rsid w:val="39507F5D"/>
    <w:rsid w:val="3D987B38"/>
    <w:rsid w:val="3F271DEE"/>
    <w:rsid w:val="3F445010"/>
    <w:rsid w:val="409E0112"/>
    <w:rsid w:val="419844C1"/>
    <w:rsid w:val="422F0C2E"/>
    <w:rsid w:val="44CF7761"/>
    <w:rsid w:val="48854455"/>
    <w:rsid w:val="4C0E4B9C"/>
    <w:rsid w:val="4C610AE4"/>
    <w:rsid w:val="5126272F"/>
    <w:rsid w:val="515175F6"/>
    <w:rsid w:val="5C311081"/>
    <w:rsid w:val="5D2A3792"/>
    <w:rsid w:val="5DC06223"/>
    <w:rsid w:val="621F5D07"/>
    <w:rsid w:val="63A87D33"/>
    <w:rsid w:val="66976A55"/>
    <w:rsid w:val="68DF0EBD"/>
    <w:rsid w:val="6A710A9C"/>
    <w:rsid w:val="6B5756D3"/>
    <w:rsid w:val="6CEF6ADD"/>
    <w:rsid w:val="6D923D65"/>
    <w:rsid w:val="6F591DFF"/>
    <w:rsid w:val="725930DC"/>
    <w:rsid w:val="737E533E"/>
    <w:rsid w:val="73B560E0"/>
    <w:rsid w:val="774030E7"/>
    <w:rsid w:val="77E7389B"/>
    <w:rsid w:val="78425EB0"/>
    <w:rsid w:val="788831CE"/>
    <w:rsid w:val="7AF97131"/>
    <w:rsid w:val="7CDA62DA"/>
    <w:rsid w:val="7D033561"/>
    <w:rsid w:val="7D0C480C"/>
    <w:rsid w:val="7FAF7B7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8"/>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2"/>
    <w:unhideWhenUsed/>
    <w:uiPriority w:val="99"/>
    <w:pPr>
      <w:snapToGrid w:val="0"/>
      <w:jc w:val="left"/>
    </w:pPr>
    <w:rPr>
      <w:rFonts w:ascii="Times New Roman" w:hAnsi="Times New Roman" w:eastAsia="宋体" w:cs="Times New Roman"/>
      <w:sz w:val="18"/>
      <w:szCs w:val="18"/>
    </w:rPr>
  </w:style>
  <w:style w:type="paragraph" w:styleId="8">
    <w:name w:val="Normal (Web)"/>
    <w:basedOn w:val="1"/>
    <w:unhideWhenUsed/>
    <w:qFormat/>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character" w:styleId="11">
    <w:name w:val="annotation reference"/>
    <w:basedOn w:val="9"/>
    <w:unhideWhenUsed/>
    <w:qFormat/>
    <w:uiPriority w:val="99"/>
    <w:rPr>
      <w:sz w:val="21"/>
      <w:szCs w:val="21"/>
    </w:rPr>
  </w:style>
  <w:style w:type="character" w:styleId="12">
    <w:name w:val="footnote reference"/>
    <w:unhideWhenUsed/>
    <w:qFormat/>
    <w:uiPriority w:val="99"/>
    <w:rPr>
      <w:rFonts w:ascii="Calibri" w:hAnsi="Calibri" w:eastAsia="宋体" w:cs="宋体"/>
      <w:vertAlign w:val="superscript"/>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批注文字 字符"/>
    <w:basedOn w:val="9"/>
    <w:link w:val="3"/>
    <w:semiHidden/>
    <w:qFormat/>
    <w:uiPriority w:val="99"/>
  </w:style>
  <w:style w:type="character" w:customStyle="1" w:styleId="17">
    <w:name w:val="批注主题 字符"/>
    <w:basedOn w:val="16"/>
    <w:link w:val="2"/>
    <w:semiHidden/>
    <w:qFormat/>
    <w:uiPriority w:val="99"/>
    <w:rPr>
      <w:b/>
      <w:bCs/>
    </w:rPr>
  </w:style>
  <w:style w:type="character" w:customStyle="1" w:styleId="18">
    <w:name w:val="批注框文本 字符"/>
    <w:basedOn w:val="9"/>
    <w:link w:val="4"/>
    <w:semiHidden/>
    <w:qFormat/>
    <w:uiPriority w:val="99"/>
    <w:rPr>
      <w:sz w:val="18"/>
      <w:szCs w:val="18"/>
    </w:rPr>
  </w:style>
  <w:style w:type="paragraph" w:customStyle="1" w:styleId="19">
    <w:name w:val="列表段落1"/>
    <w:basedOn w:val="1"/>
    <w:qFormat/>
    <w:uiPriority w:val="34"/>
    <w:pPr>
      <w:ind w:firstLine="420" w:firstLineChars="200"/>
    </w:pPr>
  </w:style>
  <w:style w:type="paragraph" w:customStyle="1" w:styleId="2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2">
    <w:name w:val="脚注文本 字符"/>
    <w:basedOn w:val="9"/>
    <w:link w:val="7"/>
    <w:semiHidden/>
    <w:qFormat/>
    <w:uiPriority w:val="99"/>
    <w:rPr>
      <w:kern w:val="2"/>
      <w:sz w:val="18"/>
      <w:szCs w:val="18"/>
    </w:rPr>
  </w:style>
  <w:style w:type="character" w:customStyle="1" w:styleId="23">
    <w:name w:val="占位符文本1"/>
    <w:basedOn w:val="9"/>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ABB2F-C7DF-49AC-BD79-69A65562D848}">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469</Words>
  <Characters>2679</Characters>
  <Lines>22</Lines>
  <Paragraphs>6</Paragraphs>
  <ScaleCrop>false</ScaleCrop>
  <LinksUpToDate>false</LinksUpToDate>
  <CharactersWithSpaces>3142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2018-07-25T02:20:00Z</dcterms:created>
  <dc:creator>Administrator</dc:creator>
  <cp:lastModifiedBy>未定义</cp:lastModifiedBy>
  <dcterms:modified xsi:type="dcterms:W3CDTF">2018-07-26T01:51:34Z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